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8C" w:rsidRDefault="00BC028C" w:rsidP="00BC028C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</w:rPr>
        <w:t>Missoula County Public Schools</w:t>
      </w:r>
    </w:p>
    <w:p w:rsidR="00BC028C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Default="00BC028C" w:rsidP="00BC028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NONINSTRUCTIONAL OPERATIONS</w:t>
      </w:r>
    </w:p>
    <w:p w:rsidR="00BC028C" w:rsidRDefault="00BC028C" w:rsidP="00BC028C">
      <w:pPr>
        <w:rPr>
          <w:rFonts w:asciiTheme="majorHAnsi" w:hAnsiTheme="majorHAnsi"/>
          <w:b/>
          <w:sz w:val="22"/>
          <w:szCs w:val="22"/>
        </w:rPr>
      </w:pPr>
    </w:p>
    <w:p w:rsidR="00BC028C" w:rsidRDefault="00BC028C" w:rsidP="00BC028C">
      <w:pPr>
        <w:rPr>
          <w:rFonts w:asciiTheme="majorHAnsi" w:hAnsiTheme="majorHAnsi"/>
          <w:b/>
          <w:sz w:val="22"/>
          <w:szCs w:val="22"/>
          <w:u w:val="single"/>
        </w:rPr>
      </w:pPr>
      <w:r>
        <w:rPr>
          <w:rFonts w:asciiTheme="majorHAnsi" w:hAnsiTheme="majorHAnsi"/>
          <w:b/>
          <w:sz w:val="22"/>
          <w:szCs w:val="22"/>
          <w:u w:val="single"/>
        </w:rPr>
        <w:t>Tributes and Memorials</w:t>
      </w:r>
    </w:p>
    <w:p w:rsidR="00BC028C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District recognizes that circumstances may exist to recognize and honor individuals for a variety of reasons. Additionally, the District recognizes that the </w:t>
      </w:r>
      <w:r w:rsidRPr="00BC3DBE">
        <w:rPr>
          <w:rFonts w:asciiTheme="majorHAnsi" w:hAnsiTheme="majorHAnsi"/>
          <w:sz w:val="22"/>
          <w:szCs w:val="22"/>
        </w:rPr>
        <w:t xml:space="preserve">death of a student, member of the staff, or </w:t>
      </w:r>
      <w:r>
        <w:rPr>
          <w:rFonts w:asciiTheme="majorHAnsi" w:hAnsiTheme="majorHAnsi"/>
          <w:sz w:val="22"/>
          <w:szCs w:val="22"/>
        </w:rPr>
        <w:t xml:space="preserve">member of the </w:t>
      </w:r>
      <w:r w:rsidRPr="00BC3DBE">
        <w:rPr>
          <w:rFonts w:asciiTheme="majorHAnsi" w:hAnsiTheme="majorHAnsi"/>
          <w:sz w:val="22"/>
          <w:szCs w:val="22"/>
        </w:rPr>
        <w:t>community is deeply felt by the school community</w:t>
      </w:r>
      <w:r>
        <w:rPr>
          <w:rFonts w:asciiTheme="majorHAnsi" w:hAnsiTheme="majorHAnsi"/>
          <w:sz w:val="22"/>
          <w:szCs w:val="22"/>
        </w:rPr>
        <w:t xml:space="preserve"> that may be appropriate to memorialize. However, a</w:t>
      </w:r>
      <w:r w:rsidRPr="00BC3DBE">
        <w:rPr>
          <w:rFonts w:asciiTheme="majorHAnsi" w:hAnsiTheme="majorHAnsi"/>
          <w:sz w:val="22"/>
          <w:szCs w:val="22"/>
        </w:rPr>
        <w:t>s places designed primarily to support learning, school sites</w:t>
      </w:r>
      <w:r>
        <w:rPr>
          <w:rFonts w:asciiTheme="majorHAnsi" w:hAnsiTheme="majorHAnsi"/>
          <w:sz w:val="22"/>
          <w:szCs w:val="22"/>
        </w:rPr>
        <w:t xml:space="preserve"> and District facilities</w:t>
      </w:r>
      <w:r w:rsidRPr="00BC3DBE">
        <w:rPr>
          <w:rFonts w:asciiTheme="majorHAnsi" w:hAnsiTheme="majorHAnsi"/>
          <w:sz w:val="22"/>
          <w:szCs w:val="22"/>
        </w:rPr>
        <w:t xml:space="preserve"> should not serve as the main venue for permanent </w:t>
      </w:r>
      <w:r>
        <w:rPr>
          <w:rFonts w:asciiTheme="majorHAnsi" w:hAnsiTheme="majorHAnsi"/>
          <w:sz w:val="22"/>
          <w:szCs w:val="22"/>
        </w:rPr>
        <w:t xml:space="preserve">tributes and </w:t>
      </w:r>
      <w:r w:rsidRPr="00BC3DBE">
        <w:rPr>
          <w:rFonts w:asciiTheme="majorHAnsi" w:hAnsiTheme="majorHAnsi"/>
          <w:sz w:val="22"/>
          <w:szCs w:val="22"/>
        </w:rPr>
        <w:t>memorials for students, staff, or community members.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  <w:r w:rsidRPr="00BC3DBE">
        <w:rPr>
          <w:rFonts w:asciiTheme="majorHAnsi" w:hAnsiTheme="majorHAnsi"/>
          <w:sz w:val="22"/>
          <w:szCs w:val="22"/>
        </w:rPr>
        <w:t xml:space="preserve">Permanent </w:t>
      </w:r>
      <w:r>
        <w:rPr>
          <w:rFonts w:asciiTheme="majorHAnsi" w:hAnsiTheme="majorHAnsi"/>
          <w:sz w:val="22"/>
          <w:szCs w:val="22"/>
        </w:rPr>
        <w:t xml:space="preserve">tributes and </w:t>
      </w:r>
      <w:r w:rsidRPr="00BC3DBE">
        <w:rPr>
          <w:rFonts w:asciiTheme="majorHAnsi" w:hAnsiTheme="majorHAnsi"/>
          <w:sz w:val="22"/>
          <w:szCs w:val="22"/>
        </w:rPr>
        <w:t xml:space="preserve">memorials for deceased students, staff, or community members </w:t>
      </w:r>
      <w:r>
        <w:rPr>
          <w:rFonts w:asciiTheme="majorHAnsi" w:hAnsiTheme="majorHAnsi"/>
          <w:sz w:val="22"/>
          <w:szCs w:val="22"/>
        </w:rPr>
        <w:t xml:space="preserve">on District property </w:t>
      </w:r>
      <w:r w:rsidRPr="00BC3DBE">
        <w:rPr>
          <w:rFonts w:asciiTheme="majorHAnsi" w:hAnsiTheme="majorHAnsi"/>
          <w:sz w:val="22"/>
          <w:szCs w:val="22"/>
        </w:rPr>
        <w:t>shall be limited to:</w:t>
      </w:r>
    </w:p>
    <w:p w:rsidR="00BC028C" w:rsidRPr="00BC3DBE" w:rsidRDefault="00BC028C" w:rsidP="00BC028C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BC3DBE">
        <w:rPr>
          <w:rFonts w:asciiTheme="majorHAnsi" w:hAnsiTheme="majorHAnsi"/>
        </w:rPr>
        <w:t>Perpetual awards or scholarships</w:t>
      </w:r>
    </w:p>
    <w:p w:rsidR="00BC028C" w:rsidRPr="00BC3DBE" w:rsidRDefault="00BC028C" w:rsidP="00BC028C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BC3DBE">
        <w:rPr>
          <w:rFonts w:asciiTheme="majorHAnsi" w:hAnsiTheme="majorHAnsi"/>
        </w:rPr>
        <w:t>Plantings (trees, shrubs, or perennials)</w:t>
      </w:r>
    </w:p>
    <w:p w:rsidR="00BC028C" w:rsidRPr="00BC3DBE" w:rsidRDefault="00BC028C" w:rsidP="00BC028C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BC3DBE">
        <w:rPr>
          <w:rFonts w:asciiTheme="majorHAnsi" w:hAnsiTheme="majorHAnsi"/>
        </w:rPr>
        <w:t>Benches, tables, and other types of outdoor furnishings</w:t>
      </w: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  <w:r w:rsidRPr="00BC3DBE">
        <w:rPr>
          <w:rFonts w:asciiTheme="majorHAnsi" w:hAnsiTheme="majorHAnsi"/>
          <w:sz w:val="22"/>
          <w:szCs w:val="22"/>
        </w:rPr>
        <w:t xml:space="preserve">Memorial signage will </w:t>
      </w:r>
      <w:r>
        <w:rPr>
          <w:rFonts w:asciiTheme="majorHAnsi" w:hAnsiTheme="majorHAnsi"/>
          <w:sz w:val="22"/>
          <w:szCs w:val="22"/>
        </w:rPr>
        <w:t xml:space="preserve">not be installed at the location and will </w:t>
      </w:r>
      <w:r w:rsidRPr="00BC3DBE">
        <w:rPr>
          <w:rFonts w:asciiTheme="majorHAnsi" w:hAnsiTheme="majorHAnsi"/>
          <w:sz w:val="22"/>
          <w:szCs w:val="22"/>
        </w:rPr>
        <w:t>be centrally located at the District’s administration building.</w:t>
      </w: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  <w:r w:rsidRPr="00BC3DBE">
        <w:rPr>
          <w:rFonts w:asciiTheme="majorHAnsi" w:hAnsiTheme="majorHAnsi"/>
          <w:sz w:val="22"/>
          <w:szCs w:val="22"/>
        </w:rPr>
        <w:t>Any permanent memorials in existence before this policy was adopted can only be removed by a vote of the Board of Trustees.</w:t>
      </w: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Funerals</w:t>
      </w:r>
      <w:r w:rsidRPr="00BC3DBE">
        <w:rPr>
          <w:rFonts w:asciiTheme="majorHAnsi" w:hAnsiTheme="majorHAnsi"/>
          <w:sz w:val="22"/>
          <w:szCs w:val="22"/>
        </w:rPr>
        <w:t xml:space="preserve">, memorial services, or celebrations of an individual’s life will </w:t>
      </w:r>
      <w:r>
        <w:rPr>
          <w:rFonts w:asciiTheme="majorHAnsi" w:hAnsiTheme="majorHAnsi"/>
          <w:sz w:val="22"/>
          <w:szCs w:val="22"/>
        </w:rPr>
        <w:t xml:space="preserve">not </w:t>
      </w:r>
      <w:r w:rsidRPr="00BC3DBE">
        <w:rPr>
          <w:rFonts w:asciiTheme="majorHAnsi" w:hAnsiTheme="majorHAnsi"/>
          <w:sz w:val="22"/>
          <w:szCs w:val="22"/>
        </w:rPr>
        <w:t xml:space="preserve">be </w:t>
      </w:r>
      <w:r>
        <w:rPr>
          <w:rFonts w:asciiTheme="majorHAnsi" w:hAnsiTheme="majorHAnsi"/>
          <w:sz w:val="22"/>
          <w:szCs w:val="22"/>
        </w:rPr>
        <w:t xml:space="preserve">conducted on district property or in the school setting. </w:t>
      </w:r>
    </w:p>
    <w:p w:rsidR="00BC028C" w:rsidRPr="00BC3DBE" w:rsidRDefault="00BC028C" w:rsidP="00BC028C">
      <w:pPr>
        <w:rPr>
          <w:rFonts w:asciiTheme="majorHAnsi" w:hAnsiTheme="majorHAnsi"/>
          <w:sz w:val="22"/>
          <w:szCs w:val="22"/>
        </w:rPr>
      </w:pPr>
    </w:p>
    <w:p w:rsidR="00BC028C" w:rsidRDefault="00BC028C" w:rsidP="00BC028C">
      <w:pPr>
        <w:widowControl w:val="0"/>
        <w:rPr>
          <w:rFonts w:asciiTheme="majorHAnsi" w:hAnsiTheme="majorHAnsi"/>
          <w:sz w:val="22"/>
          <w:szCs w:val="22"/>
        </w:rPr>
      </w:pPr>
      <w:r w:rsidRPr="00BC3DBE">
        <w:rPr>
          <w:rFonts w:asciiTheme="majorHAnsi" w:hAnsiTheme="majorHAnsi" w:cs="Adobe Garamond Pro"/>
          <w:sz w:val="22"/>
          <w:szCs w:val="22"/>
        </w:rPr>
        <w:t xml:space="preserve">The Board authorizes the Superintendent or designee to establish procedures </w:t>
      </w:r>
      <w:r>
        <w:rPr>
          <w:rFonts w:asciiTheme="majorHAnsi" w:hAnsiTheme="majorHAnsi"/>
          <w:sz w:val="22"/>
          <w:szCs w:val="22"/>
        </w:rPr>
        <w:t xml:space="preserve">to administer and implement the memorials policy, </w:t>
      </w:r>
      <w:r w:rsidRPr="00BC3DBE">
        <w:rPr>
          <w:rFonts w:asciiTheme="majorHAnsi" w:hAnsiTheme="majorHAnsi"/>
          <w:sz w:val="22"/>
          <w:szCs w:val="22"/>
        </w:rPr>
        <w:t>including: identification and approval of memorial location</w:t>
      </w:r>
      <w:r>
        <w:rPr>
          <w:rFonts w:asciiTheme="majorHAnsi" w:hAnsiTheme="majorHAnsi"/>
          <w:sz w:val="22"/>
          <w:szCs w:val="22"/>
        </w:rPr>
        <w:t>(s)</w:t>
      </w:r>
      <w:r w:rsidRPr="00BC3DBE">
        <w:rPr>
          <w:rFonts w:asciiTheme="majorHAnsi" w:hAnsiTheme="majorHAnsi"/>
          <w:sz w:val="22"/>
          <w:szCs w:val="22"/>
        </w:rPr>
        <w:t>, term(s), si</w:t>
      </w:r>
      <w:r>
        <w:rPr>
          <w:rFonts w:asciiTheme="majorHAnsi" w:hAnsiTheme="majorHAnsi"/>
          <w:sz w:val="22"/>
          <w:szCs w:val="22"/>
        </w:rPr>
        <w:t xml:space="preserve">ting, </w:t>
      </w:r>
      <w:r w:rsidRPr="00BC3DBE">
        <w:rPr>
          <w:rFonts w:asciiTheme="majorHAnsi" w:hAnsiTheme="majorHAnsi"/>
          <w:sz w:val="22"/>
          <w:szCs w:val="22"/>
        </w:rPr>
        <w:t>design standards, application requirements, review processes, and record keeping.</w:t>
      </w:r>
    </w:p>
    <w:p w:rsidR="00BC028C" w:rsidRDefault="00BC028C" w:rsidP="00BC028C">
      <w:pPr>
        <w:widowControl w:val="0"/>
        <w:rPr>
          <w:rFonts w:asciiTheme="majorHAnsi" w:hAnsiTheme="majorHAnsi"/>
          <w:sz w:val="22"/>
          <w:szCs w:val="22"/>
        </w:rPr>
      </w:pP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  <w:r w:rsidRPr="003F28EA">
        <w:rPr>
          <w:rFonts w:asciiTheme="majorHAnsi" w:eastAsia="Times New Roman" w:hAnsiTheme="majorHAnsi" w:cs="Times New Roman"/>
          <w:sz w:val="22"/>
          <w:szCs w:val="22"/>
        </w:rPr>
        <w:t>Legal References:</w:t>
      </w: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  <w:r w:rsidRPr="003F28EA">
        <w:rPr>
          <w:rFonts w:asciiTheme="majorHAnsi" w:eastAsia="Times New Roman" w:hAnsiTheme="majorHAnsi" w:cs="Times New Roman"/>
          <w:sz w:val="22"/>
          <w:szCs w:val="22"/>
        </w:rPr>
        <w:t>Cross References:</w:t>
      </w: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  <w:u w:val="single"/>
        </w:rPr>
      </w:pPr>
      <w:r w:rsidRPr="003F28EA">
        <w:rPr>
          <w:rFonts w:asciiTheme="majorHAnsi" w:eastAsia="Times New Roman" w:hAnsiTheme="majorHAnsi" w:cs="Times New Roman"/>
          <w:sz w:val="22"/>
          <w:szCs w:val="22"/>
          <w:u w:val="single"/>
        </w:rPr>
        <w:t>Policy History:</w:t>
      </w: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  <w:r w:rsidRPr="003F28EA">
        <w:rPr>
          <w:rFonts w:asciiTheme="majorHAnsi" w:eastAsia="Times New Roman" w:hAnsiTheme="majorHAnsi" w:cs="Times New Roman"/>
          <w:sz w:val="22"/>
          <w:szCs w:val="22"/>
        </w:rPr>
        <w:t>Adopted on:</w:t>
      </w:r>
    </w:p>
    <w:p w:rsidR="00BC028C" w:rsidRPr="003F28EA" w:rsidRDefault="00BC028C" w:rsidP="00BC028C">
      <w:pPr>
        <w:rPr>
          <w:rFonts w:asciiTheme="majorHAnsi" w:eastAsia="Times New Roman" w:hAnsiTheme="majorHAnsi" w:cs="Times New Roman"/>
          <w:sz w:val="22"/>
          <w:szCs w:val="22"/>
        </w:rPr>
      </w:pPr>
      <w:r w:rsidRPr="003F28EA">
        <w:rPr>
          <w:rFonts w:asciiTheme="majorHAnsi" w:eastAsia="Times New Roman" w:hAnsiTheme="majorHAnsi" w:cs="Times New Roman"/>
          <w:sz w:val="22"/>
          <w:szCs w:val="22"/>
        </w:rPr>
        <w:t>Revised on:</w:t>
      </w:r>
    </w:p>
    <w:p w:rsidR="00BC028C" w:rsidRPr="00BC3DBE" w:rsidRDefault="00BC028C" w:rsidP="00BC028C">
      <w:pPr>
        <w:widowControl w:val="0"/>
        <w:rPr>
          <w:rFonts w:asciiTheme="majorHAnsi" w:hAnsiTheme="majorHAnsi"/>
          <w:sz w:val="22"/>
          <w:szCs w:val="22"/>
        </w:rPr>
      </w:pPr>
    </w:p>
    <w:p w:rsidR="0092149F" w:rsidRDefault="0092149F"/>
    <w:sectPr w:rsidR="0092149F" w:rsidSect="00B43D8F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DF" w:rsidRDefault="00885B33">
      <w:r>
        <w:separator/>
      </w:r>
    </w:p>
  </w:endnote>
  <w:endnote w:type="continuationSeparator" w:id="0">
    <w:p w:rsidR="003729DF" w:rsidRDefault="0088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DF" w:rsidRDefault="00885B33">
      <w:r>
        <w:separator/>
      </w:r>
    </w:p>
  </w:footnote>
  <w:footnote w:type="continuationSeparator" w:id="0">
    <w:p w:rsidR="003729DF" w:rsidRDefault="00885B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D5980" w:rsidRDefault="00A73993">
    <w:pPr>
      <w:pStyle w:val="Header"/>
    </w:pPr>
    <w:r>
      <w:rPr>
        <w:noProof/>
        <w:lang w:eastAsia="zh-TW"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41D83"/>
    <w:multiLevelType w:val="hybridMultilevel"/>
    <w:tmpl w:val="BF56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28C"/>
    <w:rsid w:val="0034168F"/>
    <w:rsid w:val="003729DF"/>
    <w:rsid w:val="00451BA6"/>
    <w:rsid w:val="00885B33"/>
    <w:rsid w:val="0092149F"/>
    <w:rsid w:val="00A73993"/>
    <w:rsid w:val="00BC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28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C028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028C"/>
    <w:rPr>
      <w:rFonts w:ascii="Calibri" w:eastAsia="Calibri" w:hAnsi="Calibri" w:cs="Times New Roman"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28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C028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028C"/>
    <w:rPr>
      <w:rFonts w:ascii="Calibri" w:eastAsia="Calibri" w:hAnsi="Calibri" w:cs="Times New Roman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Macintosh Word</Application>
  <DocSecurity>0</DocSecurity>
  <Lines>11</Lines>
  <Paragraphs>3</Paragraphs>
  <ScaleCrop>false</ScaleCrop>
  <Company>Kaleva Law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Morris</dc:creator>
  <cp:keywords/>
  <dc:description/>
  <cp:lastModifiedBy>Heather Davis Schmidt</cp:lastModifiedBy>
  <cp:revision>2</cp:revision>
  <dcterms:created xsi:type="dcterms:W3CDTF">2014-02-26T20:12:00Z</dcterms:created>
  <dcterms:modified xsi:type="dcterms:W3CDTF">2014-02-26T20:12:00Z</dcterms:modified>
</cp:coreProperties>
</file>